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99A26A">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黑体" w:cs="Times New Roman"/>
          <w:bCs/>
          <w:color w:val="auto"/>
          <w:sz w:val="32"/>
          <w:szCs w:val="32"/>
          <w:highlight w:val="none"/>
          <w:lang w:val="en-US" w:eastAsia="zh-CN"/>
        </w:rPr>
      </w:pPr>
      <w:r>
        <w:rPr>
          <w:rFonts w:hint="default" w:ascii="Times New Roman" w:hAnsi="Times New Roman" w:eastAsia="黑体" w:cs="Times New Roman"/>
          <w:bCs/>
          <w:color w:val="auto"/>
          <w:sz w:val="32"/>
          <w:szCs w:val="32"/>
          <w:highlight w:val="none"/>
        </w:rPr>
        <w:t>附件</w:t>
      </w:r>
      <w:r>
        <w:rPr>
          <w:rFonts w:hint="eastAsia" w:ascii="Times New Roman" w:hAnsi="Times New Roman" w:eastAsia="黑体" w:cs="Times New Roman"/>
          <w:bCs/>
          <w:color w:val="auto"/>
          <w:sz w:val="32"/>
          <w:szCs w:val="32"/>
          <w:highlight w:val="none"/>
          <w:lang w:val="en-US" w:eastAsia="zh-CN"/>
        </w:rPr>
        <w:t>2</w:t>
      </w:r>
    </w:p>
    <w:p w14:paraId="18DCB1E4">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黑体" w:cs="Times New Roman"/>
          <w:bCs/>
          <w:color w:val="auto"/>
          <w:sz w:val="32"/>
          <w:szCs w:val="32"/>
          <w:highlight w:val="none"/>
          <w:lang w:val="en-US" w:eastAsia="zh-CN"/>
        </w:rPr>
      </w:pPr>
    </w:p>
    <w:p w14:paraId="1D75E3DA">
      <w:pPr>
        <w:keepNext w:val="0"/>
        <w:keepLines w:val="0"/>
        <w:pageBreakBefore w:val="0"/>
        <w:kinsoku/>
        <w:wordWrap/>
        <w:overflowPunct/>
        <w:topLinePunct w:val="0"/>
        <w:autoSpaceDE/>
        <w:autoSpaceDN/>
        <w:bidi w:val="0"/>
        <w:spacing w:line="600" w:lineRule="exact"/>
        <w:jc w:val="center"/>
        <w:textAlignment w:val="auto"/>
        <w:rPr>
          <w:rFonts w:hint="default" w:ascii="Times New Roman" w:hAnsi="Times New Roman" w:eastAsia="方正小标宋简体" w:cs="Times New Roman"/>
          <w:b w:val="0"/>
          <w:bCs/>
          <w:color w:val="auto"/>
          <w:sz w:val="44"/>
          <w:szCs w:val="44"/>
          <w:highlight w:val="none"/>
        </w:rPr>
      </w:pPr>
      <w:r>
        <w:rPr>
          <w:rFonts w:hint="default" w:ascii="Times New Roman" w:hAnsi="Times New Roman" w:eastAsia="方正小标宋简体" w:cs="Times New Roman"/>
          <w:b w:val="0"/>
          <w:bCs/>
          <w:color w:val="auto"/>
          <w:sz w:val="44"/>
          <w:szCs w:val="44"/>
          <w:highlight w:val="none"/>
        </w:rPr>
        <w:t>印染企业规范公告申请书填报指南</w:t>
      </w:r>
    </w:p>
    <w:p w14:paraId="592CAA9A">
      <w:pPr>
        <w:pStyle w:val="2"/>
        <w:rPr>
          <w:rFonts w:hint="default"/>
        </w:rPr>
      </w:pPr>
    </w:p>
    <w:p w14:paraId="638C531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一、《印染企业规范公告申请书》填报内容</w:t>
      </w:r>
      <w:r>
        <w:rPr>
          <w:rFonts w:hint="default" w:ascii="Times New Roman" w:hAnsi="Times New Roman" w:eastAsia="黑体" w:cs="Times New Roman"/>
          <w:color w:val="auto"/>
          <w:sz w:val="32"/>
          <w:szCs w:val="32"/>
          <w:highlight w:val="none"/>
          <w:lang w:eastAsia="zh-CN"/>
        </w:rPr>
        <w:t>说明</w:t>
      </w:r>
    </w:p>
    <w:p w14:paraId="3935C34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1.除有特别说明外，涉及环保的情况提供</w:t>
      </w:r>
      <w:r>
        <w:rPr>
          <w:rFonts w:hint="eastAsia" w:ascii="Times New Roman" w:hAnsi="Times New Roman" w:eastAsia="仿宋_GB2312" w:cs="Times New Roman"/>
          <w:color w:val="auto"/>
          <w:sz w:val="32"/>
          <w:szCs w:val="32"/>
          <w:highlight w:val="none"/>
          <w:lang w:eastAsia="zh-CN"/>
        </w:rPr>
        <w:t>近三</w:t>
      </w:r>
      <w:r>
        <w:rPr>
          <w:rFonts w:hint="eastAsia" w:ascii="Times New Roman" w:hAnsi="Times New Roman" w:eastAsia="仿宋_GB2312" w:cs="Times New Roman"/>
          <w:color w:val="auto"/>
          <w:sz w:val="32"/>
          <w:szCs w:val="32"/>
          <w:highlight w:val="none"/>
          <w:lang w:val="en-US" w:eastAsia="zh-CN"/>
        </w:rPr>
        <w:t>年</w:t>
      </w:r>
      <w:r>
        <w:rPr>
          <w:rFonts w:hint="default" w:ascii="Times New Roman" w:hAnsi="Times New Roman" w:eastAsia="仿宋_GB2312" w:cs="Times New Roman"/>
          <w:color w:val="auto"/>
          <w:sz w:val="32"/>
          <w:szCs w:val="32"/>
          <w:highlight w:val="none"/>
        </w:rPr>
        <w:t>至申报时的相关数据及证明材料，其它部分情况提供上年度相关数据及证明材料。</w:t>
      </w:r>
    </w:p>
    <w:p w14:paraId="6BF623C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企业设计生产能力</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指企业生产设备在单位时间内可能生产的印染产品数量。计量单位：机织产品为万米/年，针织产品、纱线等产品为吨/年。</w:t>
      </w:r>
    </w:p>
    <w:p w14:paraId="75B25D0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上年度实际产量</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指企业在上年度主要印染产品的实际生产量，填表时填直接统计的产量。</w:t>
      </w:r>
    </w:p>
    <w:p w14:paraId="33112C1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上年度折标产量</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指企业上年度实际产量的折标准品产量。换算标准品时可参考《印染企业综合能耗计算办法及基本定额》（FZ/T01002</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2010）、《机织印染产品取水计算办法及单耗基本定额》（FZ/T01104</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2010）、《针织印染产品取水计算办法及单耗基本定额》（FZ/T01105</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2010）、《针织印染面料单位产品能源消耗限额》（FZ/T07019</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2021）。</w:t>
      </w:r>
    </w:p>
    <w:p w14:paraId="2FB0EF0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5.</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销售收入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利润总额</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利税总额</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增加值</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均仅涉及上年度的印染生产环节。</w:t>
      </w:r>
    </w:p>
    <w:p w14:paraId="3BCE1D3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6.</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主要设备</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包括前处理、染色、后整理、印花等工序的主要设备。</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主要设备</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类目中的</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设备名称</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生产商</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型号</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制造日期（出厂日期）</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数量</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等信息应完整、准确填写，无法填报的，应书面说明情况。</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主要性能参数</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包括但不限于设备铭牌上标注的性能参数。设备主体已改造，达到节能环保标准并满足产品质量要求的应进行相关情况说明。</w:t>
      </w:r>
    </w:p>
    <w:p w14:paraId="339FCE0C">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7.年总能耗指上年度企业实际消耗在印染生产、辅助生产和附属生产中作为燃料、动力、原料、辅助材料使用的能源。</w:t>
      </w:r>
    </w:p>
    <w:p w14:paraId="0CC0C430">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8.年新鲜水取水量指上年度</w:t>
      </w:r>
      <w:bookmarkStart w:id="0" w:name="_GoBack"/>
      <w:bookmarkEnd w:id="0"/>
      <w:r>
        <w:rPr>
          <w:rFonts w:hint="default" w:ascii="Times New Roman" w:hAnsi="Times New Roman" w:eastAsia="仿宋_GB2312" w:cs="Times New Roman"/>
          <w:color w:val="auto"/>
          <w:sz w:val="32"/>
          <w:szCs w:val="32"/>
          <w:highlight w:val="none"/>
        </w:rPr>
        <w:t>企业从各种水源提取的并用于印染生产、辅助生产和附属生产的水量总和，包括城市自来水用量、地表水、地下水用量和企业从市场购得的其他水或水的产品（如蒸汽、热水等）。</w:t>
      </w:r>
    </w:p>
    <w:p w14:paraId="3D349C36">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9.</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水重复利用率</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指上年度企业直接利用和经处理后回收再利用的水量占印染生产用水总量的比值。</w:t>
      </w:r>
    </w:p>
    <w:p w14:paraId="4CEF2BC6">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10.</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年废水排放量</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指生产设施或企业向企业法定边界以外排放的废水的量，包括与生产有直接或间接关系的各种外排废水（含厂区生活污水、冷却废水、厂区锅炉和电站排水等）。</w:t>
      </w:r>
    </w:p>
    <w:p w14:paraId="26FA7570">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11.企业至少有一套用于生产的染化料自动配液输送系统，即可认为有染化料自动配液输送系统。</w:t>
      </w:r>
    </w:p>
    <w:p w14:paraId="7834AFB5">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12.附件1附表</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中的</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无搬迁计划</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，指截止到申报时，企业没有自主搬迁计划，也没有列入政府搬迁计划。</w:t>
      </w:r>
    </w:p>
    <w:p w14:paraId="5106BA93">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二、申请公告企业需提交的证明材料</w:t>
      </w:r>
    </w:p>
    <w:p w14:paraId="3CB80412">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证明材料应分类整理、加注编号、编制目录，同一类别的证明材料应按时间顺序排列。</w:t>
      </w:r>
    </w:p>
    <w:p w14:paraId="5B24A449">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1.营业执照、质量管理体系认证、环保体系认证等复印件。</w:t>
      </w:r>
    </w:p>
    <w:p w14:paraId="0F6675A2">
      <w:pPr>
        <w:keepNext w:val="0"/>
        <w:keepLines w:val="0"/>
        <w:pageBreakBefore w:val="0"/>
        <w:widowControl w:val="0"/>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2.水重复利用设施及其效果的说明，水重复利用率数据的详细计算过程。</w:t>
      </w:r>
    </w:p>
    <w:p w14:paraId="5089E71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sz w:val="32"/>
          <w:szCs w:val="32"/>
          <w:highlight w:val="none"/>
        </w:rPr>
        <w:t>3.</w:t>
      </w:r>
      <w:r>
        <w:rPr>
          <w:rFonts w:hint="default" w:ascii="Times New Roman" w:hAnsi="Times New Roman" w:eastAsia="仿宋_GB2312" w:cs="Times New Roman"/>
          <w:color w:val="auto"/>
          <w:kern w:val="0"/>
          <w:sz w:val="32"/>
          <w:szCs w:val="32"/>
          <w:highlight w:val="none"/>
        </w:rPr>
        <w:t>环境影响评价审批和验收审查相关文件。</w:t>
      </w:r>
    </w:p>
    <w:p w14:paraId="68C9A77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4.排污许可证复印件和副本设备清单。设备清单与环评不一致，但符合《纺织印染建设项目重大变动清单》规定的应提供相关情况说明。</w:t>
      </w:r>
    </w:p>
    <w:p w14:paraId="7D6311D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rPr>
        <w:t>5.固体废弃物综合利用和处置合同，处置单位资质，危险废物转移联单，危险废物转移许可文件，危废处置合同等。</w:t>
      </w:r>
      <w:r>
        <w:rPr>
          <w:rFonts w:hint="eastAsia" w:ascii="Times New Roman" w:hAnsi="Times New Roman" w:eastAsia="仿宋_GB2312" w:cs="Times New Roman"/>
          <w:color w:val="auto"/>
          <w:kern w:val="0"/>
          <w:sz w:val="32"/>
          <w:szCs w:val="32"/>
          <w:highlight w:val="none"/>
          <w:lang w:val="en-US" w:eastAsia="zh-CN"/>
        </w:rPr>
        <w:t xml:space="preserve">  </w:t>
      </w:r>
    </w:p>
    <w:p w14:paraId="7FB4840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6.三级用能用水计量管理的考核制度文件，三级能源、水资源台账。</w:t>
      </w:r>
    </w:p>
    <w:p w14:paraId="4B47B99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7.</w:t>
      </w:r>
      <w:r>
        <w:rPr>
          <w:rFonts w:hint="default" w:ascii="Times New Roman" w:hAnsi="Times New Roman" w:eastAsia="仿宋_GB2312" w:cs="Times New Roman"/>
          <w:color w:val="auto"/>
          <w:sz w:val="32"/>
          <w:szCs w:val="32"/>
          <w:highlight w:val="none"/>
        </w:rPr>
        <w:t>环境管理制度及应急体系建设文件、安全生产管理制度文件</w:t>
      </w:r>
      <w:r>
        <w:rPr>
          <w:rFonts w:hint="default" w:ascii="Times New Roman" w:hAnsi="Times New Roman" w:eastAsia="仿宋_GB2312" w:cs="Times New Roman"/>
          <w:color w:val="auto"/>
          <w:kern w:val="0"/>
          <w:sz w:val="32"/>
          <w:szCs w:val="32"/>
          <w:highlight w:val="none"/>
        </w:rPr>
        <w:t>。</w:t>
      </w:r>
    </w:p>
    <w:p w14:paraId="437CA5E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8.清洁生产审核相关材料。</w:t>
      </w:r>
    </w:p>
    <w:p w14:paraId="572683B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9.能证明《企业符合规范条件情况自查表》所填情况属实的其他材料。</w:t>
      </w:r>
    </w:p>
    <w:p w14:paraId="162A7E23">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10.其他相关证明材料。</w:t>
      </w:r>
    </w:p>
    <w:p w14:paraId="28CC2911">
      <w:pPr>
        <w:keepNext w:val="0"/>
        <w:keepLines w:val="0"/>
        <w:pageBreakBefore w:val="0"/>
        <w:widowControl w:val="0"/>
        <w:kinsoku/>
        <w:wordWrap/>
        <w:overflowPunct/>
        <w:topLinePunct w:val="0"/>
        <w:autoSpaceDE/>
        <w:autoSpaceDN/>
        <w:bidi w:val="0"/>
        <w:spacing w:line="580" w:lineRule="exact"/>
        <w:ind w:firstLine="420" w:firstLineChars="200"/>
        <w:jc w:val="both"/>
        <w:textAlignment w:val="auto"/>
        <w:rPr>
          <w:rFonts w:hint="default" w:ascii="Times New Roman" w:hAnsi="Times New Roman" w:cs="Times New Roman"/>
          <w:color w:val="auto"/>
          <w:highlight w:val="none"/>
        </w:rPr>
      </w:pPr>
    </w:p>
    <w:sectPr>
      <w:pgSz w:w="11906" w:h="16838"/>
      <w:pgMar w:top="2098" w:right="1474" w:bottom="1814" w:left="1587" w:header="851" w:footer="1417" w:gutter="0"/>
      <w:pgNumType w:fmt="numberInDash" w:start="1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A7A8F"/>
    <w:rsid w:val="0001494B"/>
    <w:rsid w:val="001027CE"/>
    <w:rsid w:val="00296E57"/>
    <w:rsid w:val="003D1A93"/>
    <w:rsid w:val="00435823"/>
    <w:rsid w:val="00441C8C"/>
    <w:rsid w:val="005265D6"/>
    <w:rsid w:val="005355BA"/>
    <w:rsid w:val="005C72FF"/>
    <w:rsid w:val="005E7702"/>
    <w:rsid w:val="007678DD"/>
    <w:rsid w:val="007E257A"/>
    <w:rsid w:val="00837F74"/>
    <w:rsid w:val="008602D9"/>
    <w:rsid w:val="009A7A8F"/>
    <w:rsid w:val="00A443F9"/>
    <w:rsid w:val="00AC5509"/>
    <w:rsid w:val="00B5158D"/>
    <w:rsid w:val="00BB0853"/>
    <w:rsid w:val="00C60537"/>
    <w:rsid w:val="00E27D14"/>
    <w:rsid w:val="00EB6A81"/>
    <w:rsid w:val="10FE0259"/>
    <w:rsid w:val="27FFD059"/>
    <w:rsid w:val="2EEFC44E"/>
    <w:rsid w:val="3BDF2FDB"/>
    <w:rsid w:val="3E5F41FC"/>
    <w:rsid w:val="3F4D03FE"/>
    <w:rsid w:val="4FC66F16"/>
    <w:rsid w:val="563BA90E"/>
    <w:rsid w:val="5F67A310"/>
    <w:rsid w:val="5FDF7967"/>
    <w:rsid w:val="5FFFFE39"/>
    <w:rsid w:val="6B5F7790"/>
    <w:rsid w:val="6DF720F2"/>
    <w:rsid w:val="6FF76484"/>
    <w:rsid w:val="7DDEE628"/>
    <w:rsid w:val="BDB99762"/>
    <w:rsid w:val="BDF9C155"/>
    <w:rsid w:val="D46B3836"/>
    <w:rsid w:val="D6A5CFA8"/>
    <w:rsid w:val="DDFD02C4"/>
    <w:rsid w:val="DFDE62B4"/>
    <w:rsid w:val="F9FFF87D"/>
    <w:rsid w:val="FB7F4117"/>
    <w:rsid w:val="FBA5D12A"/>
    <w:rsid w:val="FBB6EA18"/>
    <w:rsid w:val="FD7761F4"/>
    <w:rsid w:val="FEBB510F"/>
    <w:rsid w:val="FEFC4FB5"/>
    <w:rsid w:val="FF699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afterLines="0" w:afterAutospacing="0"/>
    </w:pPr>
  </w:style>
  <w:style w:type="paragraph" w:styleId="3">
    <w:name w:val="footer"/>
    <w:basedOn w:val="1"/>
    <w:link w:val="8"/>
    <w:unhideWhenUsed/>
    <w:qFormat/>
    <w:uiPriority w:val="0"/>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paragraph" w:customStyle="1" w:styleId="9">
    <w:name w:val="Default"/>
    <w:qFormat/>
    <w:uiPriority w:val="0"/>
    <w:pPr>
      <w:widowControl w:val="0"/>
      <w:autoSpaceDE w:val="0"/>
      <w:autoSpaceDN w:val="0"/>
      <w:adjustRightInd w:val="0"/>
    </w:pPr>
    <w:rPr>
      <w:rFonts w:ascii="Times New Roman" w:hAnsi="Times New Roman" w:cs="Times New Roman" w:eastAsiaTheme="minorEastAsia"/>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215</Words>
  <Characters>1230</Characters>
  <Lines>10</Lines>
  <Paragraphs>2</Paragraphs>
  <TotalTime>1</TotalTime>
  <ScaleCrop>false</ScaleCrop>
  <LinksUpToDate>false</LinksUpToDate>
  <CharactersWithSpaces>1443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2024-01-29T08:32:00Z</dcterms:created>
  <dc:creator>NTKO</dc:creator>
  <cp:lastModifiedBy>lenovo</cp:lastModifiedBy>
  <cp:lastPrinted>2026-07-22T22:58:00Z</cp:lastPrinted>
  <dcterms:modified xsi:type="dcterms:W3CDTF">2026-07-22T15:01:11Z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CD5B737DF38D0C559DD22B6AEF8DDA1D</vt:lpwstr>
  </property>
</Properties>
</file>